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6ABE" w14:textId="61257832" w:rsidR="00312CE8" w:rsidRPr="007A49DB" w:rsidRDefault="0006327B" w:rsidP="00060324">
      <w:pPr>
        <w:pStyle w:val="Title"/>
        <w:spacing w:before="0"/>
        <w:ind w:left="0" w:right="0"/>
        <w:rPr>
          <w:spacing w:val="-58"/>
        </w:rPr>
      </w:pPr>
      <w:r w:rsidRPr="007A49DB">
        <w:t>RESOLUTION</w:t>
      </w:r>
      <w:r w:rsidRPr="007A49DB">
        <w:rPr>
          <w:spacing w:val="-9"/>
        </w:rPr>
        <w:t xml:space="preserve"> </w:t>
      </w:r>
      <w:r w:rsidRPr="007A49DB">
        <w:t>#</w:t>
      </w:r>
      <w:r w:rsidR="000332BE" w:rsidRPr="007A49DB">
        <w:t xml:space="preserve"> 9</w:t>
      </w:r>
    </w:p>
    <w:p w14:paraId="36B0EAC3" w14:textId="77777777" w:rsidR="00312CE8" w:rsidRPr="007A49DB" w:rsidRDefault="00312CE8" w:rsidP="00F57BD6">
      <w:pPr>
        <w:pStyle w:val="Title"/>
        <w:spacing w:before="0"/>
        <w:ind w:left="0" w:right="0"/>
        <w:rPr>
          <w:spacing w:val="-58"/>
        </w:rPr>
      </w:pPr>
    </w:p>
    <w:p w14:paraId="12C13D1B" w14:textId="7B82996B" w:rsidR="00F57BD6" w:rsidRDefault="00F45003" w:rsidP="00F57BD6">
      <w:pPr>
        <w:pStyle w:val="Title"/>
        <w:spacing w:before="0"/>
        <w:ind w:left="0" w:right="0"/>
      </w:pPr>
      <w:r w:rsidRPr="007A49DB">
        <w:t>WOODLANDS PROTECTION FUND</w:t>
      </w:r>
    </w:p>
    <w:p w14:paraId="38E11E8B" w14:textId="77777777" w:rsidR="007A49DB" w:rsidRPr="007A49DB" w:rsidRDefault="007A49DB" w:rsidP="007A49DB">
      <w:pPr>
        <w:pStyle w:val="Title"/>
        <w:spacing w:before="0"/>
        <w:ind w:left="0" w:right="0"/>
        <w:jc w:val="left"/>
      </w:pPr>
    </w:p>
    <w:p w14:paraId="5D867A5B" w14:textId="108FEEE4" w:rsidR="00F57BD6" w:rsidRPr="007A49DB" w:rsidRDefault="00F57BD6" w:rsidP="003D0257">
      <w:pPr>
        <w:pStyle w:val="Title"/>
        <w:spacing w:before="0"/>
        <w:ind w:left="0" w:right="0"/>
        <w:jc w:val="left"/>
      </w:pPr>
    </w:p>
    <w:p w14:paraId="46AE8D3B" w14:textId="397B7B94" w:rsidR="007A49DB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/>
        </w:rPr>
        <w:sectPr w:rsidR="007A49DB" w:rsidRPr="007A49DB" w:rsidSect="003F5A86">
          <w:footerReference w:type="even" r:id="rId11"/>
          <w:footerReference w:type="default" r:id="rId12"/>
          <w:type w:val="continuous"/>
          <w:pgSz w:w="12240" w:h="15840"/>
          <w:pgMar w:top="1152" w:right="1440" w:bottom="1440" w:left="2160" w:header="720" w:footer="432" w:gutter="0"/>
          <w:pgNumType w:fmt="numberInDash" w:start="38"/>
          <w:cols w:space="720"/>
          <w:docGrid w:linePitch="299"/>
        </w:sectPr>
      </w:pPr>
    </w:p>
    <w:p w14:paraId="7CEAFA84" w14:textId="316CE434" w:rsidR="002A1428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Cs/>
          <w:sz w:val="21"/>
          <w:szCs w:val="21"/>
        </w:rPr>
      </w:pPr>
      <w:r>
        <w:rPr>
          <w:b/>
          <w:sz w:val="21"/>
        </w:rPr>
        <w:tab/>
      </w:r>
      <w:r w:rsidR="00B331B0" w:rsidRPr="007A49DB">
        <w:rPr>
          <w:b/>
          <w:sz w:val="21"/>
          <w:szCs w:val="21"/>
        </w:rPr>
        <w:t>WHEREAS,</w:t>
      </w:r>
      <w:r w:rsidR="00B331B0" w:rsidRPr="007A49DB">
        <w:rPr>
          <w:bCs/>
          <w:sz w:val="21"/>
          <w:szCs w:val="21"/>
        </w:rPr>
        <w:t xml:space="preserve"> </w:t>
      </w:r>
      <w:r w:rsidR="00592A63" w:rsidRPr="007A49DB">
        <w:rPr>
          <w:bCs/>
          <w:sz w:val="21"/>
          <w:szCs w:val="21"/>
        </w:rPr>
        <w:t xml:space="preserve">on </w:t>
      </w:r>
      <w:r w:rsidR="00090E48" w:rsidRPr="007A49DB">
        <w:rPr>
          <w:bCs/>
          <w:sz w:val="21"/>
          <w:szCs w:val="21"/>
        </w:rPr>
        <w:t>May 15, 2023</w:t>
      </w:r>
      <w:r w:rsidR="0092570B" w:rsidRPr="007A49DB">
        <w:rPr>
          <w:bCs/>
          <w:sz w:val="21"/>
          <w:szCs w:val="21"/>
        </w:rPr>
        <w:t>,</w:t>
      </w:r>
      <w:r w:rsidR="00090E48" w:rsidRPr="007A49DB">
        <w:rPr>
          <w:bCs/>
          <w:sz w:val="21"/>
          <w:szCs w:val="21"/>
        </w:rPr>
        <w:t xml:space="preserve"> Senator R</w:t>
      </w:r>
      <w:r w:rsidR="00620D37" w:rsidRPr="007A49DB">
        <w:rPr>
          <w:bCs/>
          <w:sz w:val="21"/>
          <w:szCs w:val="21"/>
        </w:rPr>
        <w:t>obert</w:t>
      </w:r>
      <w:r w:rsidR="00090E48" w:rsidRPr="007A49DB">
        <w:rPr>
          <w:bCs/>
          <w:sz w:val="21"/>
          <w:szCs w:val="21"/>
        </w:rPr>
        <w:t xml:space="preserve"> W. Singer </w:t>
      </w:r>
      <w:r w:rsidR="00BF17E0" w:rsidRPr="007A49DB">
        <w:rPr>
          <w:bCs/>
          <w:sz w:val="21"/>
          <w:szCs w:val="21"/>
        </w:rPr>
        <w:t xml:space="preserve">(R) </w:t>
      </w:r>
      <w:r w:rsidR="006A5E7B" w:rsidRPr="007A49DB">
        <w:rPr>
          <w:bCs/>
          <w:sz w:val="21"/>
          <w:szCs w:val="21"/>
        </w:rPr>
        <w:t xml:space="preserve">introduced a bill </w:t>
      </w:r>
      <w:r w:rsidR="00C727FC" w:rsidRPr="007A49DB">
        <w:rPr>
          <w:bCs/>
          <w:sz w:val="21"/>
          <w:szCs w:val="21"/>
        </w:rPr>
        <w:t xml:space="preserve">directing the Department of Environmental Protection (DEP) to establish </w:t>
      </w:r>
      <w:r w:rsidR="00262EF9" w:rsidRPr="007A49DB">
        <w:rPr>
          <w:bCs/>
          <w:sz w:val="21"/>
          <w:szCs w:val="21"/>
        </w:rPr>
        <w:t xml:space="preserve">a program </w:t>
      </w:r>
      <w:r w:rsidR="00D9152E" w:rsidRPr="007A49DB">
        <w:rPr>
          <w:bCs/>
          <w:sz w:val="21"/>
          <w:szCs w:val="21"/>
        </w:rPr>
        <w:t xml:space="preserve">for the purpose of </w:t>
      </w:r>
      <w:r w:rsidR="00E22FB3" w:rsidRPr="007A49DB">
        <w:rPr>
          <w:bCs/>
          <w:sz w:val="21"/>
          <w:szCs w:val="21"/>
        </w:rPr>
        <w:t xml:space="preserve">acquisition </w:t>
      </w:r>
      <w:r w:rsidR="002A1428" w:rsidRPr="007A49DB">
        <w:rPr>
          <w:bCs/>
          <w:sz w:val="21"/>
          <w:szCs w:val="21"/>
        </w:rPr>
        <w:t>of development easements on privately-owned woodlands; and</w:t>
      </w:r>
    </w:p>
    <w:p w14:paraId="539A0651" w14:textId="0B9DD1F6" w:rsidR="007F2BE7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Cs/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7F2BE7" w:rsidRPr="007A49DB">
        <w:rPr>
          <w:b/>
          <w:sz w:val="21"/>
          <w:szCs w:val="21"/>
        </w:rPr>
        <w:t>WHEREAS,</w:t>
      </w:r>
      <w:r w:rsidR="007F2BE7" w:rsidRPr="007A49DB">
        <w:rPr>
          <w:bCs/>
          <w:sz w:val="21"/>
          <w:szCs w:val="21"/>
        </w:rPr>
        <w:t xml:space="preserve"> establishment of a non</w:t>
      </w:r>
      <w:r w:rsidR="0092570B" w:rsidRPr="007A49DB">
        <w:rPr>
          <w:bCs/>
          <w:sz w:val="21"/>
          <w:szCs w:val="21"/>
        </w:rPr>
        <w:t>-</w:t>
      </w:r>
      <w:r w:rsidR="007F2BE7" w:rsidRPr="007A49DB">
        <w:rPr>
          <w:bCs/>
          <w:sz w:val="21"/>
          <w:szCs w:val="21"/>
        </w:rPr>
        <w:t>lapsing fund known as the “Woodlands Protection Fund” will provide monies for the acquisition by the State</w:t>
      </w:r>
      <w:r w:rsidR="002A1428" w:rsidRPr="007A49DB">
        <w:rPr>
          <w:bCs/>
          <w:sz w:val="21"/>
          <w:szCs w:val="21"/>
        </w:rPr>
        <w:t xml:space="preserve"> of development easements, conservation restrictions or easements, or any other restrictions or easements restricting, in perpetuity, development or privately-owned woodlands; and</w:t>
      </w:r>
      <w:r w:rsidR="002A1428" w:rsidRPr="007A49DB">
        <w:rPr>
          <w:bCs/>
          <w:sz w:val="21"/>
          <w:szCs w:val="21"/>
        </w:rPr>
        <w:tab/>
      </w:r>
    </w:p>
    <w:p w14:paraId="057A43EC" w14:textId="27BB5DCD" w:rsidR="00FB7B7E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Cs/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EF25B3" w:rsidRPr="007A49DB">
        <w:rPr>
          <w:b/>
          <w:sz w:val="21"/>
          <w:szCs w:val="21"/>
        </w:rPr>
        <w:t>WHEREAS</w:t>
      </w:r>
      <w:r w:rsidR="00EF25B3" w:rsidRPr="007A49DB">
        <w:rPr>
          <w:bCs/>
          <w:sz w:val="21"/>
          <w:szCs w:val="21"/>
        </w:rPr>
        <w:t xml:space="preserve">, </w:t>
      </w:r>
      <w:r w:rsidR="00211350" w:rsidRPr="007A49DB">
        <w:rPr>
          <w:bCs/>
          <w:sz w:val="21"/>
          <w:szCs w:val="21"/>
        </w:rPr>
        <w:t>the</w:t>
      </w:r>
      <w:r w:rsidR="00C25BAB" w:rsidRPr="007A49DB">
        <w:rPr>
          <w:bCs/>
          <w:sz w:val="21"/>
          <w:szCs w:val="21"/>
        </w:rPr>
        <w:t xml:space="preserve"> woodlands would be eligible for acquisition if they are </w:t>
      </w:r>
      <w:r w:rsidR="00FB7B7E" w:rsidRPr="007A49DB">
        <w:rPr>
          <w:bCs/>
          <w:sz w:val="21"/>
          <w:szCs w:val="21"/>
        </w:rPr>
        <w:t>at least</w:t>
      </w:r>
      <w:r w:rsidR="00C25BAB" w:rsidRPr="007A49DB">
        <w:rPr>
          <w:bCs/>
          <w:sz w:val="21"/>
          <w:szCs w:val="21"/>
        </w:rPr>
        <w:t xml:space="preserve"> five contiguous acres</w:t>
      </w:r>
      <w:r w:rsidR="0092570B" w:rsidRPr="007A49DB">
        <w:rPr>
          <w:bCs/>
          <w:sz w:val="21"/>
          <w:szCs w:val="21"/>
        </w:rPr>
        <w:t>, and th</w:t>
      </w:r>
      <w:r w:rsidR="009A0A47" w:rsidRPr="007A49DB">
        <w:rPr>
          <w:bCs/>
          <w:sz w:val="21"/>
          <w:szCs w:val="21"/>
        </w:rPr>
        <w:t>e woodlands shall be managed by the landowner with a</w:t>
      </w:r>
      <w:r w:rsidR="00211350" w:rsidRPr="007A49DB">
        <w:rPr>
          <w:bCs/>
          <w:sz w:val="21"/>
          <w:szCs w:val="21"/>
        </w:rPr>
        <w:t>n approved</w:t>
      </w:r>
      <w:r w:rsidR="009A0A47" w:rsidRPr="007A49DB">
        <w:rPr>
          <w:bCs/>
          <w:sz w:val="21"/>
          <w:szCs w:val="21"/>
        </w:rPr>
        <w:t xml:space="preserve"> forest stewardship plan</w:t>
      </w:r>
      <w:r w:rsidR="00211350" w:rsidRPr="007A49DB">
        <w:rPr>
          <w:bCs/>
          <w:sz w:val="21"/>
          <w:szCs w:val="21"/>
        </w:rPr>
        <w:t xml:space="preserve"> </w:t>
      </w:r>
      <w:r w:rsidR="00F45003" w:rsidRPr="007A49DB">
        <w:rPr>
          <w:sz w:val="21"/>
          <w:szCs w:val="21"/>
        </w:rPr>
        <w:t xml:space="preserve">approved pursuant to section 3 of P.L.2009, c.256 19 (C.13:1L-31) </w:t>
      </w:r>
      <w:r w:rsidR="00211350" w:rsidRPr="007A49DB">
        <w:rPr>
          <w:bCs/>
          <w:sz w:val="21"/>
          <w:szCs w:val="21"/>
        </w:rPr>
        <w:t>or a woodland management plan</w:t>
      </w:r>
      <w:r w:rsidR="00622AA1" w:rsidRPr="007A49DB">
        <w:rPr>
          <w:bCs/>
          <w:sz w:val="21"/>
          <w:szCs w:val="21"/>
        </w:rPr>
        <w:t xml:space="preserve"> pursuant to </w:t>
      </w:r>
      <w:r w:rsidR="00622AA1" w:rsidRPr="007A49DB">
        <w:rPr>
          <w:sz w:val="21"/>
          <w:szCs w:val="21"/>
        </w:rPr>
        <w:t>section 3 of the "Farmland Assessment Act of 1964," P.L.1964, c.48 (C.54:4-23.3)</w:t>
      </w:r>
      <w:r w:rsidR="00211350" w:rsidRPr="007A49DB">
        <w:rPr>
          <w:bCs/>
          <w:sz w:val="21"/>
          <w:szCs w:val="21"/>
        </w:rPr>
        <w:t>; and</w:t>
      </w:r>
    </w:p>
    <w:p w14:paraId="49B0A615" w14:textId="12BAB71B" w:rsidR="00FB7B7E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Cs/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8911E1" w:rsidRPr="007A49DB">
        <w:rPr>
          <w:b/>
          <w:sz w:val="21"/>
          <w:szCs w:val="21"/>
        </w:rPr>
        <w:t>WHEREAS</w:t>
      </w:r>
      <w:r w:rsidR="008911E1" w:rsidRPr="007A49DB">
        <w:rPr>
          <w:bCs/>
          <w:sz w:val="21"/>
          <w:szCs w:val="21"/>
        </w:rPr>
        <w:t xml:space="preserve">, woodlands preserved by the program will not require a landowner to provide public access to </w:t>
      </w:r>
      <w:r w:rsidR="006528C0" w:rsidRPr="007A49DB">
        <w:rPr>
          <w:bCs/>
          <w:sz w:val="21"/>
          <w:szCs w:val="21"/>
        </w:rPr>
        <w:t>preserved land; and</w:t>
      </w:r>
    </w:p>
    <w:p w14:paraId="5359979A" w14:textId="6AEE3E5C" w:rsidR="00AC37E3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Cs/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AC37E3" w:rsidRPr="007A49DB">
        <w:rPr>
          <w:b/>
          <w:sz w:val="21"/>
          <w:szCs w:val="21"/>
        </w:rPr>
        <w:t>WHEREAS</w:t>
      </w:r>
      <w:r w:rsidR="00AC37E3" w:rsidRPr="007A49DB">
        <w:rPr>
          <w:bCs/>
          <w:sz w:val="21"/>
          <w:szCs w:val="21"/>
        </w:rPr>
        <w:t xml:space="preserve">, </w:t>
      </w:r>
      <w:r w:rsidR="00774E82" w:rsidRPr="007A49DB">
        <w:rPr>
          <w:bCs/>
          <w:sz w:val="21"/>
          <w:szCs w:val="21"/>
        </w:rPr>
        <w:t xml:space="preserve">approximately 40 percent of the total land area of New Jersey is </w:t>
      </w:r>
      <w:r w:rsidR="00213E3C" w:rsidRPr="007A49DB">
        <w:rPr>
          <w:bCs/>
          <w:sz w:val="21"/>
          <w:szCs w:val="21"/>
        </w:rPr>
        <w:t>covered by forests</w:t>
      </w:r>
      <w:r w:rsidR="00533E79" w:rsidRPr="007A49DB">
        <w:rPr>
          <w:bCs/>
          <w:sz w:val="21"/>
          <w:szCs w:val="21"/>
        </w:rPr>
        <w:t>; half of which are privately owned</w:t>
      </w:r>
      <w:r w:rsidR="00C9688A" w:rsidRPr="007A49DB">
        <w:rPr>
          <w:bCs/>
          <w:sz w:val="21"/>
          <w:szCs w:val="21"/>
        </w:rPr>
        <w:t>; and</w:t>
      </w:r>
    </w:p>
    <w:p w14:paraId="06233E89" w14:textId="38E3B99F" w:rsidR="00B823B6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bCs/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B823B6" w:rsidRPr="007A49DB">
        <w:rPr>
          <w:b/>
          <w:sz w:val="21"/>
          <w:szCs w:val="21"/>
        </w:rPr>
        <w:t>WHEREAS</w:t>
      </w:r>
      <w:r w:rsidR="00B823B6" w:rsidRPr="007A49DB">
        <w:rPr>
          <w:bCs/>
          <w:sz w:val="21"/>
          <w:szCs w:val="21"/>
        </w:rPr>
        <w:t>, the State Agricultur</w:t>
      </w:r>
      <w:r>
        <w:rPr>
          <w:bCs/>
          <w:sz w:val="21"/>
          <w:szCs w:val="21"/>
        </w:rPr>
        <w:t>e</w:t>
      </w:r>
      <w:r w:rsidR="00B823B6" w:rsidRPr="007A49DB">
        <w:rPr>
          <w:bCs/>
          <w:sz w:val="21"/>
          <w:szCs w:val="21"/>
        </w:rPr>
        <w:t xml:space="preserve"> Development Committee </w:t>
      </w:r>
      <w:r>
        <w:rPr>
          <w:bCs/>
          <w:sz w:val="21"/>
          <w:szCs w:val="21"/>
        </w:rPr>
        <w:t xml:space="preserve">(SADC) </w:t>
      </w:r>
      <w:r w:rsidR="00B823B6" w:rsidRPr="007A49DB">
        <w:rPr>
          <w:bCs/>
          <w:sz w:val="21"/>
          <w:szCs w:val="21"/>
        </w:rPr>
        <w:t>has permanently preserved 2,852 farms covering 250,243 acres through the Farmland Preservation Program, including approximately 61,000 acres of forested upland and wetland;</w:t>
      </w:r>
      <w:r w:rsidR="00B823B6" w:rsidRPr="007A49DB">
        <w:rPr>
          <w:b/>
          <w:sz w:val="21"/>
          <w:szCs w:val="21"/>
        </w:rPr>
        <w:t xml:space="preserve"> </w:t>
      </w:r>
      <w:r w:rsidR="00B823B6" w:rsidRPr="007A49DB">
        <w:rPr>
          <w:bCs/>
          <w:sz w:val="21"/>
          <w:szCs w:val="21"/>
        </w:rPr>
        <w:t>and</w:t>
      </w:r>
    </w:p>
    <w:p w14:paraId="6EAD9F86" w14:textId="0044B45A" w:rsidR="008570DA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06327B" w:rsidRPr="007A49DB">
        <w:rPr>
          <w:b/>
          <w:sz w:val="21"/>
          <w:szCs w:val="21"/>
        </w:rPr>
        <w:t>WHEREAS</w:t>
      </w:r>
      <w:r w:rsidR="0006327B" w:rsidRPr="007A49DB">
        <w:rPr>
          <w:sz w:val="21"/>
          <w:szCs w:val="21"/>
        </w:rPr>
        <w:t>,</w:t>
      </w:r>
      <w:r w:rsidR="0006327B" w:rsidRPr="007A49DB">
        <w:rPr>
          <w:spacing w:val="-3"/>
          <w:sz w:val="21"/>
          <w:szCs w:val="21"/>
        </w:rPr>
        <w:t xml:space="preserve"> </w:t>
      </w:r>
      <w:r w:rsidR="00D60106" w:rsidRPr="007A49DB">
        <w:rPr>
          <w:sz w:val="21"/>
          <w:szCs w:val="21"/>
        </w:rPr>
        <w:t xml:space="preserve">this bill </w:t>
      </w:r>
      <w:r>
        <w:rPr>
          <w:sz w:val="21"/>
          <w:szCs w:val="21"/>
        </w:rPr>
        <w:t>d</w:t>
      </w:r>
      <w:r w:rsidR="00D60106" w:rsidRPr="007A49DB">
        <w:rPr>
          <w:sz w:val="21"/>
          <w:szCs w:val="21"/>
        </w:rPr>
        <w:t>irects the State Forester in the D</w:t>
      </w:r>
      <w:r w:rsidR="00D329F2" w:rsidRPr="007A49DB">
        <w:rPr>
          <w:sz w:val="21"/>
          <w:szCs w:val="21"/>
        </w:rPr>
        <w:t>EP</w:t>
      </w:r>
      <w:r w:rsidR="00D60106" w:rsidRPr="007A49DB">
        <w:rPr>
          <w:sz w:val="21"/>
          <w:szCs w:val="21"/>
        </w:rPr>
        <w:t xml:space="preserve"> to adopt rules and regulations within one year after the bill is enacted into law</w:t>
      </w:r>
      <w:r w:rsidR="00B823B6" w:rsidRPr="007A49DB">
        <w:rPr>
          <w:sz w:val="21"/>
          <w:szCs w:val="21"/>
        </w:rPr>
        <w:t xml:space="preserve"> without the inclusion of the State Agricultur</w:t>
      </w:r>
      <w:r>
        <w:rPr>
          <w:sz w:val="21"/>
          <w:szCs w:val="21"/>
        </w:rPr>
        <w:t>e</w:t>
      </w:r>
      <w:r w:rsidR="00B823B6" w:rsidRPr="007A49DB">
        <w:rPr>
          <w:sz w:val="21"/>
          <w:szCs w:val="21"/>
        </w:rPr>
        <w:t xml:space="preserve"> Development Committee</w:t>
      </w:r>
      <w:r w:rsidR="00D60106" w:rsidRPr="007A49DB">
        <w:rPr>
          <w:sz w:val="21"/>
          <w:szCs w:val="21"/>
        </w:rPr>
        <w:t>; and</w:t>
      </w:r>
    </w:p>
    <w:p w14:paraId="1A036ED4" w14:textId="7006774D" w:rsidR="00B823B6" w:rsidRPr="007A49DB" w:rsidRDefault="007A49DB" w:rsidP="00F57BD6">
      <w:pPr>
        <w:pStyle w:val="ListParagraph"/>
        <w:tabs>
          <w:tab w:val="left" w:pos="720"/>
          <w:tab w:val="left" w:pos="1838"/>
          <w:tab w:val="left" w:pos="1839"/>
        </w:tabs>
        <w:spacing w:before="0" w:line="480" w:lineRule="auto"/>
        <w:ind w:left="0" w:firstLine="0"/>
        <w:rPr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B823B6" w:rsidRPr="007A49DB">
        <w:rPr>
          <w:b/>
          <w:sz w:val="21"/>
          <w:szCs w:val="21"/>
        </w:rPr>
        <w:t>WHEREAS</w:t>
      </w:r>
      <w:r w:rsidR="00B823B6" w:rsidRPr="007A49DB">
        <w:rPr>
          <w:bCs/>
          <w:sz w:val="21"/>
          <w:szCs w:val="21"/>
        </w:rPr>
        <w:t>, it is crucial to protect and preserve forested areas, protecting the habitat for plant and animal species.</w:t>
      </w:r>
      <w:r w:rsidR="00B823B6" w:rsidRPr="007A49DB">
        <w:rPr>
          <w:bCs/>
          <w:sz w:val="21"/>
          <w:szCs w:val="21"/>
        </w:rPr>
        <w:tab/>
      </w:r>
    </w:p>
    <w:p w14:paraId="6EAD9F91" w14:textId="6B9E9B02" w:rsidR="008570DA" w:rsidRPr="007A49DB" w:rsidRDefault="007A49DB" w:rsidP="00F57BD6">
      <w:pPr>
        <w:pStyle w:val="ListParagraph"/>
        <w:tabs>
          <w:tab w:val="left" w:pos="720"/>
        </w:tabs>
        <w:spacing w:before="0" w:line="480" w:lineRule="auto"/>
        <w:ind w:left="0" w:firstLine="0"/>
        <w:rPr>
          <w:sz w:val="21"/>
          <w:szCs w:val="21"/>
        </w:rPr>
      </w:pPr>
      <w:r w:rsidRPr="007A49DB">
        <w:rPr>
          <w:b/>
          <w:color w:val="000000" w:themeColor="text1"/>
          <w:sz w:val="21"/>
          <w:szCs w:val="21"/>
        </w:rPr>
        <w:tab/>
      </w:r>
      <w:r w:rsidR="003D0257" w:rsidRPr="007A49DB">
        <w:rPr>
          <w:b/>
          <w:color w:val="000000" w:themeColor="text1"/>
          <w:sz w:val="21"/>
          <w:szCs w:val="21"/>
        </w:rPr>
        <w:t>NOW, THEREFORE, BE IT RESOLVED</w:t>
      </w:r>
      <w:r w:rsidR="003D0257" w:rsidRPr="007A49DB">
        <w:rPr>
          <w:color w:val="000000" w:themeColor="text1"/>
          <w:sz w:val="21"/>
          <w:szCs w:val="21"/>
        </w:rPr>
        <w:t>, that we, the delegates to the 10</w:t>
      </w:r>
      <w:r w:rsidR="00B25412" w:rsidRPr="007A49DB">
        <w:rPr>
          <w:color w:val="000000" w:themeColor="text1"/>
          <w:sz w:val="21"/>
          <w:szCs w:val="21"/>
        </w:rPr>
        <w:t>9</w:t>
      </w:r>
      <w:r w:rsidR="00B25412" w:rsidRPr="007A49DB">
        <w:rPr>
          <w:color w:val="000000" w:themeColor="text1"/>
          <w:sz w:val="21"/>
          <w:szCs w:val="21"/>
          <w:vertAlign w:val="superscript"/>
        </w:rPr>
        <w:t>th</w:t>
      </w:r>
      <w:r w:rsidR="00B25412" w:rsidRPr="007A49DB">
        <w:rPr>
          <w:color w:val="000000" w:themeColor="text1"/>
          <w:sz w:val="21"/>
          <w:szCs w:val="21"/>
        </w:rPr>
        <w:t xml:space="preserve"> </w:t>
      </w:r>
      <w:r w:rsidR="003D0257" w:rsidRPr="007A49DB">
        <w:rPr>
          <w:color w:val="000000" w:themeColor="text1"/>
          <w:sz w:val="21"/>
          <w:szCs w:val="21"/>
        </w:rPr>
        <w:t xml:space="preserve">State </w:t>
      </w:r>
      <w:r w:rsidR="003D0257" w:rsidRPr="007A49DB">
        <w:rPr>
          <w:color w:val="000000" w:themeColor="text1"/>
          <w:sz w:val="21"/>
          <w:szCs w:val="21"/>
        </w:rPr>
        <w:lastRenderedPageBreak/>
        <w:t xml:space="preserve">Agricultural Convention, assembled in Atlantic City, New Jersey, on February </w:t>
      </w:r>
      <w:r w:rsidR="00B25412" w:rsidRPr="007A49DB">
        <w:rPr>
          <w:color w:val="000000" w:themeColor="text1"/>
          <w:sz w:val="21"/>
          <w:szCs w:val="21"/>
        </w:rPr>
        <w:t>7-</w:t>
      </w:r>
      <w:r w:rsidR="003D0257" w:rsidRPr="007A49DB">
        <w:rPr>
          <w:color w:val="000000" w:themeColor="text1"/>
          <w:sz w:val="21"/>
          <w:szCs w:val="21"/>
        </w:rPr>
        <w:t>8</w:t>
      </w:r>
      <w:r w:rsidR="00B25412" w:rsidRPr="007A49DB">
        <w:rPr>
          <w:color w:val="000000" w:themeColor="text1"/>
          <w:sz w:val="21"/>
          <w:szCs w:val="21"/>
        </w:rPr>
        <w:t>,</w:t>
      </w:r>
      <w:r w:rsidR="003D0257" w:rsidRPr="007A49DB">
        <w:rPr>
          <w:color w:val="000000" w:themeColor="text1"/>
          <w:sz w:val="21"/>
          <w:szCs w:val="21"/>
        </w:rPr>
        <w:t xml:space="preserve"> 202</w:t>
      </w:r>
      <w:r w:rsidR="00B25412" w:rsidRPr="007A49DB">
        <w:rPr>
          <w:color w:val="000000" w:themeColor="text1"/>
          <w:sz w:val="21"/>
          <w:szCs w:val="21"/>
        </w:rPr>
        <w:t>4</w:t>
      </w:r>
      <w:r w:rsidR="003D0257" w:rsidRPr="007A49DB">
        <w:rPr>
          <w:color w:val="000000" w:themeColor="text1"/>
          <w:sz w:val="21"/>
          <w:szCs w:val="21"/>
        </w:rPr>
        <w:t>,</w:t>
      </w:r>
      <w:r w:rsidR="00CB7B54" w:rsidRPr="007A49DB">
        <w:rPr>
          <w:color w:val="000000" w:themeColor="text1"/>
          <w:sz w:val="21"/>
          <w:szCs w:val="21"/>
        </w:rPr>
        <w:t xml:space="preserve"> </w:t>
      </w:r>
      <w:r w:rsidR="0006327B" w:rsidRPr="007A49DB">
        <w:rPr>
          <w:sz w:val="21"/>
          <w:szCs w:val="21"/>
        </w:rPr>
        <w:t>support</w:t>
      </w:r>
      <w:r w:rsidR="0006327B" w:rsidRPr="007A49DB">
        <w:rPr>
          <w:spacing w:val="-4"/>
          <w:sz w:val="21"/>
          <w:szCs w:val="21"/>
        </w:rPr>
        <w:t xml:space="preserve"> </w:t>
      </w:r>
      <w:r w:rsidR="0006327B" w:rsidRPr="007A49DB">
        <w:rPr>
          <w:sz w:val="21"/>
          <w:szCs w:val="21"/>
        </w:rPr>
        <w:t>the</w:t>
      </w:r>
      <w:r w:rsidR="0006327B" w:rsidRPr="007A49DB">
        <w:rPr>
          <w:spacing w:val="-5"/>
          <w:sz w:val="21"/>
          <w:szCs w:val="21"/>
        </w:rPr>
        <w:t xml:space="preserve"> </w:t>
      </w:r>
      <w:r w:rsidR="00B823B6" w:rsidRPr="007A49DB">
        <w:rPr>
          <w:sz w:val="21"/>
          <w:szCs w:val="21"/>
        </w:rPr>
        <w:t>establishment of a program that acquires development easements for privately-owned woodlands.</w:t>
      </w:r>
    </w:p>
    <w:p w14:paraId="6EAD9FC6" w14:textId="7A21F741" w:rsidR="008570DA" w:rsidRPr="007A49DB" w:rsidRDefault="007A49DB" w:rsidP="00E057D4">
      <w:pPr>
        <w:pStyle w:val="ListParagraph"/>
        <w:tabs>
          <w:tab w:val="left" w:pos="720"/>
        </w:tabs>
        <w:spacing w:before="0" w:line="480" w:lineRule="auto"/>
        <w:ind w:left="0" w:firstLine="0"/>
        <w:rPr>
          <w:sz w:val="21"/>
          <w:szCs w:val="21"/>
        </w:rPr>
      </w:pPr>
      <w:r w:rsidRPr="007A49DB">
        <w:rPr>
          <w:b/>
          <w:sz w:val="21"/>
          <w:szCs w:val="21"/>
        </w:rPr>
        <w:tab/>
      </w:r>
      <w:r w:rsidR="0006327B" w:rsidRPr="007A49DB">
        <w:rPr>
          <w:b/>
          <w:sz w:val="21"/>
          <w:szCs w:val="21"/>
        </w:rPr>
        <w:t>BE</w:t>
      </w:r>
      <w:r w:rsidR="0006327B" w:rsidRPr="007A49DB">
        <w:rPr>
          <w:b/>
          <w:spacing w:val="-2"/>
          <w:sz w:val="21"/>
          <w:szCs w:val="21"/>
        </w:rPr>
        <w:t xml:space="preserve"> </w:t>
      </w:r>
      <w:r w:rsidR="0006327B" w:rsidRPr="007A49DB">
        <w:rPr>
          <w:b/>
          <w:sz w:val="21"/>
          <w:szCs w:val="21"/>
        </w:rPr>
        <w:t>IT</w:t>
      </w:r>
      <w:r w:rsidR="0006327B" w:rsidRPr="007A49DB">
        <w:rPr>
          <w:b/>
          <w:spacing w:val="-1"/>
          <w:sz w:val="21"/>
          <w:szCs w:val="21"/>
        </w:rPr>
        <w:t xml:space="preserve"> </w:t>
      </w:r>
      <w:r w:rsidR="0006327B" w:rsidRPr="007A49DB">
        <w:rPr>
          <w:b/>
          <w:sz w:val="21"/>
          <w:szCs w:val="21"/>
        </w:rPr>
        <w:t>FURTHER</w:t>
      </w:r>
      <w:r w:rsidR="0006327B" w:rsidRPr="007A49DB">
        <w:rPr>
          <w:b/>
          <w:spacing w:val="-2"/>
          <w:sz w:val="21"/>
          <w:szCs w:val="21"/>
        </w:rPr>
        <w:t xml:space="preserve"> </w:t>
      </w:r>
      <w:r w:rsidR="0006327B" w:rsidRPr="007A49DB">
        <w:rPr>
          <w:b/>
          <w:sz w:val="21"/>
          <w:szCs w:val="21"/>
        </w:rPr>
        <w:t>RESOLVED</w:t>
      </w:r>
      <w:r w:rsidR="0006327B" w:rsidRPr="007A49DB">
        <w:rPr>
          <w:sz w:val="21"/>
          <w:szCs w:val="21"/>
        </w:rPr>
        <w:t>,</w:t>
      </w:r>
      <w:r w:rsidR="0006327B" w:rsidRPr="007A49DB">
        <w:rPr>
          <w:spacing w:val="-2"/>
          <w:sz w:val="21"/>
          <w:szCs w:val="21"/>
        </w:rPr>
        <w:t xml:space="preserve"> </w:t>
      </w:r>
      <w:r w:rsidR="0006327B" w:rsidRPr="007A49DB">
        <w:rPr>
          <w:sz w:val="21"/>
          <w:szCs w:val="21"/>
        </w:rPr>
        <w:t>that</w:t>
      </w:r>
      <w:r w:rsidR="0006327B" w:rsidRPr="007A49DB">
        <w:rPr>
          <w:spacing w:val="-2"/>
          <w:sz w:val="21"/>
          <w:szCs w:val="21"/>
        </w:rPr>
        <w:t xml:space="preserve"> </w:t>
      </w:r>
      <w:r w:rsidR="0006327B" w:rsidRPr="007A49DB">
        <w:rPr>
          <w:sz w:val="21"/>
          <w:szCs w:val="21"/>
        </w:rPr>
        <w:t>we</w:t>
      </w:r>
      <w:r w:rsidR="0006327B" w:rsidRPr="007A49DB">
        <w:rPr>
          <w:spacing w:val="-4"/>
          <w:sz w:val="21"/>
          <w:szCs w:val="21"/>
        </w:rPr>
        <w:t xml:space="preserve"> </w:t>
      </w:r>
      <w:r w:rsidR="0006327B" w:rsidRPr="007A49DB">
        <w:rPr>
          <w:sz w:val="21"/>
          <w:szCs w:val="21"/>
        </w:rPr>
        <w:t>urge</w:t>
      </w:r>
      <w:r w:rsidR="0006327B" w:rsidRPr="007A49DB">
        <w:rPr>
          <w:spacing w:val="-3"/>
          <w:sz w:val="21"/>
          <w:szCs w:val="21"/>
        </w:rPr>
        <w:t xml:space="preserve"> </w:t>
      </w:r>
      <w:r w:rsidR="0006327B" w:rsidRPr="007A49DB">
        <w:rPr>
          <w:sz w:val="21"/>
          <w:szCs w:val="21"/>
        </w:rPr>
        <w:t>the</w:t>
      </w:r>
      <w:r w:rsidR="00E057D4" w:rsidRPr="007A49DB">
        <w:rPr>
          <w:sz w:val="21"/>
          <w:szCs w:val="21"/>
        </w:rPr>
        <w:t xml:space="preserve"> L</w:t>
      </w:r>
      <w:r w:rsidR="00124A70" w:rsidRPr="007A49DB">
        <w:rPr>
          <w:spacing w:val="-3"/>
          <w:sz w:val="21"/>
          <w:szCs w:val="21"/>
        </w:rPr>
        <w:t>egislature to include a requirement in the legislation that the DEP and State Forester must consult with the S</w:t>
      </w:r>
      <w:r w:rsidR="0006327B" w:rsidRPr="007A49DB">
        <w:rPr>
          <w:sz w:val="21"/>
          <w:szCs w:val="21"/>
        </w:rPr>
        <w:t>ADC</w:t>
      </w:r>
      <w:r w:rsidR="0006327B" w:rsidRPr="007A49DB">
        <w:rPr>
          <w:spacing w:val="-3"/>
          <w:sz w:val="21"/>
          <w:szCs w:val="21"/>
        </w:rPr>
        <w:t xml:space="preserve"> </w:t>
      </w:r>
      <w:r w:rsidR="00124A70" w:rsidRPr="007A49DB">
        <w:rPr>
          <w:sz w:val="21"/>
          <w:szCs w:val="21"/>
        </w:rPr>
        <w:t>on the establishment of the development easement acquisition rules and regulations.</w:t>
      </w:r>
    </w:p>
    <w:sectPr w:rsidR="008570DA" w:rsidRPr="007A49DB" w:rsidSect="003F5A86">
      <w:type w:val="continuous"/>
      <w:pgSz w:w="12240" w:h="15840"/>
      <w:pgMar w:top="1152" w:right="1440" w:bottom="1440" w:left="2160" w:header="720" w:footer="432" w:gutter="0"/>
      <w:lnNumType w:countBy="1" w:distance="720" w:restart="continuous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991B" w14:textId="77777777" w:rsidR="003F5A86" w:rsidRDefault="003F5A86" w:rsidP="00BC4FE4">
      <w:r>
        <w:separator/>
      </w:r>
    </w:p>
  </w:endnote>
  <w:endnote w:type="continuationSeparator" w:id="0">
    <w:p w14:paraId="713A0D49" w14:textId="77777777" w:rsidR="003F5A86" w:rsidRDefault="003F5A86" w:rsidP="00BC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24620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26F7917" w14:textId="0263CE82" w:rsidR="00295FBC" w:rsidRPr="00295FBC" w:rsidRDefault="00295FBC" w:rsidP="00295FBC">
        <w:pPr>
          <w:pStyle w:val="Footer"/>
          <w:jc w:val="right"/>
          <w:rPr>
            <w:sz w:val="18"/>
            <w:szCs w:val="18"/>
          </w:rPr>
        </w:pPr>
        <w:r w:rsidRPr="00295FBC">
          <w:rPr>
            <w:sz w:val="18"/>
            <w:szCs w:val="18"/>
          </w:rPr>
          <w:fldChar w:fldCharType="begin"/>
        </w:r>
        <w:r w:rsidRPr="00295FBC">
          <w:rPr>
            <w:sz w:val="18"/>
            <w:szCs w:val="18"/>
          </w:rPr>
          <w:instrText xml:space="preserve"> PAGE   \* MERGEFORMAT </w:instrText>
        </w:r>
        <w:r w:rsidRPr="00295FBC">
          <w:rPr>
            <w:sz w:val="18"/>
            <w:szCs w:val="18"/>
          </w:rPr>
          <w:fldChar w:fldCharType="separate"/>
        </w:r>
        <w:r w:rsidRPr="00295FBC">
          <w:rPr>
            <w:noProof/>
            <w:sz w:val="18"/>
            <w:szCs w:val="18"/>
          </w:rPr>
          <w:t>2</w:t>
        </w:r>
        <w:r w:rsidRPr="00295FBC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816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2E0CC" w14:textId="29EBC496" w:rsidR="00BC4FE4" w:rsidRPr="00295FBC" w:rsidRDefault="00295FBC">
        <w:pPr>
          <w:pStyle w:val="Footer"/>
        </w:pPr>
        <w:r w:rsidRPr="00295FBC">
          <w:rPr>
            <w:sz w:val="18"/>
            <w:szCs w:val="18"/>
          </w:rPr>
          <w:fldChar w:fldCharType="begin"/>
        </w:r>
        <w:r w:rsidRPr="00295FBC">
          <w:rPr>
            <w:sz w:val="18"/>
            <w:szCs w:val="18"/>
          </w:rPr>
          <w:instrText xml:space="preserve"> PAGE   \* MERGEFORMAT </w:instrText>
        </w:r>
        <w:r w:rsidRPr="00295FBC">
          <w:rPr>
            <w:sz w:val="18"/>
            <w:szCs w:val="18"/>
          </w:rPr>
          <w:fldChar w:fldCharType="separate"/>
        </w:r>
        <w:r w:rsidRPr="00295FBC">
          <w:rPr>
            <w:noProof/>
            <w:sz w:val="18"/>
            <w:szCs w:val="18"/>
          </w:rPr>
          <w:t>2</w:t>
        </w:r>
        <w:r w:rsidRPr="00295FBC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BEC9" w14:textId="77777777" w:rsidR="003F5A86" w:rsidRDefault="003F5A86" w:rsidP="00BC4FE4">
      <w:r>
        <w:separator/>
      </w:r>
    </w:p>
  </w:footnote>
  <w:footnote w:type="continuationSeparator" w:id="0">
    <w:p w14:paraId="7E148AD2" w14:textId="77777777" w:rsidR="003F5A86" w:rsidRDefault="003F5A86" w:rsidP="00BC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209B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6A7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1A7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8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DA09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CF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B2C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8E4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C6717"/>
    <w:multiLevelType w:val="hybridMultilevel"/>
    <w:tmpl w:val="6226E2A6"/>
    <w:lvl w:ilvl="0" w:tplc="A71EBB78">
      <w:start w:val="1"/>
      <w:numFmt w:val="decimal"/>
      <w:lvlText w:val="%1"/>
      <w:lvlJc w:val="left"/>
      <w:pPr>
        <w:ind w:left="2500" w:hanging="15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824B3EA">
      <w:numFmt w:val="bullet"/>
      <w:lvlText w:val="•"/>
      <w:lvlJc w:val="left"/>
      <w:pPr>
        <w:ind w:left="3302" w:hanging="1552"/>
      </w:pPr>
      <w:rPr>
        <w:rFonts w:hint="default"/>
        <w:lang w:val="en-US" w:eastAsia="en-US" w:bidi="ar-SA"/>
      </w:rPr>
    </w:lvl>
    <w:lvl w:ilvl="2" w:tplc="A9BE568C">
      <w:numFmt w:val="bullet"/>
      <w:lvlText w:val="•"/>
      <w:lvlJc w:val="left"/>
      <w:pPr>
        <w:ind w:left="4104" w:hanging="1552"/>
      </w:pPr>
      <w:rPr>
        <w:rFonts w:hint="default"/>
        <w:lang w:val="en-US" w:eastAsia="en-US" w:bidi="ar-SA"/>
      </w:rPr>
    </w:lvl>
    <w:lvl w:ilvl="3" w:tplc="D2442152">
      <w:numFmt w:val="bullet"/>
      <w:lvlText w:val="•"/>
      <w:lvlJc w:val="left"/>
      <w:pPr>
        <w:ind w:left="4906" w:hanging="1552"/>
      </w:pPr>
      <w:rPr>
        <w:rFonts w:hint="default"/>
        <w:lang w:val="en-US" w:eastAsia="en-US" w:bidi="ar-SA"/>
      </w:rPr>
    </w:lvl>
    <w:lvl w:ilvl="4" w:tplc="CFC2D8B6">
      <w:numFmt w:val="bullet"/>
      <w:lvlText w:val="•"/>
      <w:lvlJc w:val="left"/>
      <w:pPr>
        <w:ind w:left="5708" w:hanging="1552"/>
      </w:pPr>
      <w:rPr>
        <w:rFonts w:hint="default"/>
        <w:lang w:val="en-US" w:eastAsia="en-US" w:bidi="ar-SA"/>
      </w:rPr>
    </w:lvl>
    <w:lvl w:ilvl="5" w:tplc="7B446158">
      <w:numFmt w:val="bullet"/>
      <w:lvlText w:val="•"/>
      <w:lvlJc w:val="left"/>
      <w:pPr>
        <w:ind w:left="6510" w:hanging="1552"/>
      </w:pPr>
      <w:rPr>
        <w:rFonts w:hint="default"/>
        <w:lang w:val="en-US" w:eastAsia="en-US" w:bidi="ar-SA"/>
      </w:rPr>
    </w:lvl>
    <w:lvl w:ilvl="6" w:tplc="EE8E7B2A">
      <w:numFmt w:val="bullet"/>
      <w:lvlText w:val="•"/>
      <w:lvlJc w:val="left"/>
      <w:pPr>
        <w:ind w:left="7312" w:hanging="1552"/>
      </w:pPr>
      <w:rPr>
        <w:rFonts w:hint="default"/>
        <w:lang w:val="en-US" w:eastAsia="en-US" w:bidi="ar-SA"/>
      </w:rPr>
    </w:lvl>
    <w:lvl w:ilvl="7" w:tplc="868A00AE">
      <w:numFmt w:val="bullet"/>
      <w:lvlText w:val="•"/>
      <w:lvlJc w:val="left"/>
      <w:pPr>
        <w:ind w:left="8114" w:hanging="1552"/>
      </w:pPr>
      <w:rPr>
        <w:rFonts w:hint="default"/>
        <w:lang w:val="en-US" w:eastAsia="en-US" w:bidi="ar-SA"/>
      </w:rPr>
    </w:lvl>
    <w:lvl w:ilvl="8" w:tplc="69D6AED8">
      <w:numFmt w:val="bullet"/>
      <w:lvlText w:val="•"/>
      <w:lvlJc w:val="left"/>
      <w:pPr>
        <w:ind w:left="8916" w:hanging="1552"/>
      </w:pPr>
      <w:rPr>
        <w:rFonts w:hint="default"/>
        <w:lang w:val="en-US" w:eastAsia="en-US" w:bidi="ar-SA"/>
      </w:rPr>
    </w:lvl>
  </w:abstractNum>
  <w:num w:numId="1" w16cid:durableId="345137286">
    <w:abstractNumId w:val="10"/>
  </w:num>
  <w:num w:numId="2" w16cid:durableId="1483931793">
    <w:abstractNumId w:val="9"/>
  </w:num>
  <w:num w:numId="3" w16cid:durableId="5250692">
    <w:abstractNumId w:val="7"/>
  </w:num>
  <w:num w:numId="4" w16cid:durableId="1166634381">
    <w:abstractNumId w:val="6"/>
  </w:num>
  <w:num w:numId="5" w16cid:durableId="1288852425">
    <w:abstractNumId w:val="5"/>
  </w:num>
  <w:num w:numId="6" w16cid:durableId="1296063181">
    <w:abstractNumId w:val="4"/>
  </w:num>
  <w:num w:numId="7" w16cid:durableId="2052991668">
    <w:abstractNumId w:val="8"/>
  </w:num>
  <w:num w:numId="8" w16cid:durableId="753284235">
    <w:abstractNumId w:val="3"/>
  </w:num>
  <w:num w:numId="9" w16cid:durableId="320305731">
    <w:abstractNumId w:val="2"/>
  </w:num>
  <w:num w:numId="10" w16cid:durableId="597953275">
    <w:abstractNumId w:val="1"/>
  </w:num>
  <w:num w:numId="11" w16cid:durableId="887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7A0MLc0NDO1NLRU0lEKTi0uzszPAykwrAUAJrBB/ywAAAA="/>
  </w:docVars>
  <w:rsids>
    <w:rsidRoot w:val="008570DA"/>
    <w:rsid w:val="000332BE"/>
    <w:rsid w:val="00037BC8"/>
    <w:rsid w:val="00060324"/>
    <w:rsid w:val="0006327B"/>
    <w:rsid w:val="00090E48"/>
    <w:rsid w:val="000A096E"/>
    <w:rsid w:val="000A3D04"/>
    <w:rsid w:val="000B20D6"/>
    <w:rsid w:val="000C5247"/>
    <w:rsid w:val="000C6555"/>
    <w:rsid w:val="000E338B"/>
    <w:rsid w:val="00122376"/>
    <w:rsid w:val="00124A70"/>
    <w:rsid w:val="0018547D"/>
    <w:rsid w:val="001B5443"/>
    <w:rsid w:val="00211350"/>
    <w:rsid w:val="00213E3C"/>
    <w:rsid w:val="002275E7"/>
    <w:rsid w:val="002408E1"/>
    <w:rsid w:val="002529A3"/>
    <w:rsid w:val="00262EF9"/>
    <w:rsid w:val="00295FBC"/>
    <w:rsid w:val="002A1428"/>
    <w:rsid w:val="002D3B3C"/>
    <w:rsid w:val="002F1C5D"/>
    <w:rsid w:val="003027BF"/>
    <w:rsid w:val="00312CE8"/>
    <w:rsid w:val="00380562"/>
    <w:rsid w:val="003D0257"/>
    <w:rsid w:val="003F31B3"/>
    <w:rsid w:val="003F5A86"/>
    <w:rsid w:val="00404A04"/>
    <w:rsid w:val="00404EDD"/>
    <w:rsid w:val="00414505"/>
    <w:rsid w:val="00497717"/>
    <w:rsid w:val="004A4FB8"/>
    <w:rsid w:val="004B5B84"/>
    <w:rsid w:val="004C5E61"/>
    <w:rsid w:val="004D5BC4"/>
    <w:rsid w:val="005314C9"/>
    <w:rsid w:val="00533E79"/>
    <w:rsid w:val="005521F6"/>
    <w:rsid w:val="0056002B"/>
    <w:rsid w:val="00586EF3"/>
    <w:rsid w:val="00592A63"/>
    <w:rsid w:val="005C7031"/>
    <w:rsid w:val="00620D37"/>
    <w:rsid w:val="00622AA1"/>
    <w:rsid w:val="006528C0"/>
    <w:rsid w:val="006579F4"/>
    <w:rsid w:val="006938D5"/>
    <w:rsid w:val="006A5E7B"/>
    <w:rsid w:val="00712B9D"/>
    <w:rsid w:val="00726157"/>
    <w:rsid w:val="00774E82"/>
    <w:rsid w:val="007A49DB"/>
    <w:rsid w:val="007B72B1"/>
    <w:rsid w:val="007F2BE7"/>
    <w:rsid w:val="00832B67"/>
    <w:rsid w:val="00845C20"/>
    <w:rsid w:val="008570DA"/>
    <w:rsid w:val="008911E1"/>
    <w:rsid w:val="008E5775"/>
    <w:rsid w:val="008F34F7"/>
    <w:rsid w:val="008F5367"/>
    <w:rsid w:val="0092570B"/>
    <w:rsid w:val="00942CE4"/>
    <w:rsid w:val="00945FF7"/>
    <w:rsid w:val="00952E21"/>
    <w:rsid w:val="00964ED1"/>
    <w:rsid w:val="00980243"/>
    <w:rsid w:val="0098313B"/>
    <w:rsid w:val="00985F4E"/>
    <w:rsid w:val="009869CD"/>
    <w:rsid w:val="009A0A47"/>
    <w:rsid w:val="009E6C67"/>
    <w:rsid w:val="00A13C1B"/>
    <w:rsid w:val="00A31AA1"/>
    <w:rsid w:val="00AB1150"/>
    <w:rsid w:val="00AC2287"/>
    <w:rsid w:val="00AC37E3"/>
    <w:rsid w:val="00AC6940"/>
    <w:rsid w:val="00B25412"/>
    <w:rsid w:val="00B331B0"/>
    <w:rsid w:val="00B34668"/>
    <w:rsid w:val="00B4146F"/>
    <w:rsid w:val="00B701C5"/>
    <w:rsid w:val="00B823B6"/>
    <w:rsid w:val="00B91A27"/>
    <w:rsid w:val="00BC4FE4"/>
    <w:rsid w:val="00BF17E0"/>
    <w:rsid w:val="00C02286"/>
    <w:rsid w:val="00C059AD"/>
    <w:rsid w:val="00C14011"/>
    <w:rsid w:val="00C25BAB"/>
    <w:rsid w:val="00C53E96"/>
    <w:rsid w:val="00C70F26"/>
    <w:rsid w:val="00C727FC"/>
    <w:rsid w:val="00C76114"/>
    <w:rsid w:val="00C9688A"/>
    <w:rsid w:val="00CB7B54"/>
    <w:rsid w:val="00CF0DBE"/>
    <w:rsid w:val="00D329F2"/>
    <w:rsid w:val="00D42FEB"/>
    <w:rsid w:val="00D56ED6"/>
    <w:rsid w:val="00D60106"/>
    <w:rsid w:val="00D70B9E"/>
    <w:rsid w:val="00D9152E"/>
    <w:rsid w:val="00DA72FA"/>
    <w:rsid w:val="00DA756C"/>
    <w:rsid w:val="00DE147F"/>
    <w:rsid w:val="00DE2092"/>
    <w:rsid w:val="00DF75DA"/>
    <w:rsid w:val="00E057D4"/>
    <w:rsid w:val="00E06034"/>
    <w:rsid w:val="00E22FB3"/>
    <w:rsid w:val="00EB0A50"/>
    <w:rsid w:val="00EC4502"/>
    <w:rsid w:val="00EF25B3"/>
    <w:rsid w:val="00F11FE6"/>
    <w:rsid w:val="00F45003"/>
    <w:rsid w:val="00F54672"/>
    <w:rsid w:val="00F57BD6"/>
    <w:rsid w:val="00F6427F"/>
    <w:rsid w:val="00F81D4E"/>
    <w:rsid w:val="00FB1E5B"/>
    <w:rsid w:val="00FB7B7E"/>
    <w:rsid w:val="05423460"/>
    <w:rsid w:val="3A4B9548"/>
    <w:rsid w:val="57114604"/>
    <w:rsid w:val="5A41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D9F7E"/>
  <w15:docId w15:val="{A6CB1700-1B3D-4699-B1EF-6DD018C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E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60" w:hanging="94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4414" w:right="34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15"/>
      <w:ind w:left="1060" w:hanging="94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2615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26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15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157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64ED1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C4FE4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C4FE4"/>
    <w:pPr>
      <w:tabs>
        <w:tab w:val="center" w:pos="4680"/>
        <w:tab w:val="right" w:pos="9360"/>
      </w:tabs>
    </w:pPr>
  </w:style>
  <w:style w:type="character" w:customStyle="1" w:styleId="BodyTextChar">
    <w:name w:val="Body Text Char"/>
    <w:basedOn w:val="DefaultParagraphFont"/>
    <w:link w:val="BodyText"/>
    <w:uiPriority w:val="1"/>
    <w:rsid w:val="00BC4FE4"/>
    <w:rPr>
      <w:rFonts w:ascii="Arial" w:eastAsia="Arial" w:hAnsi="Arial" w:cs="Arial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4F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6F812D3337F49B19A8545D2DC85FD" ma:contentTypeVersion="13" ma:contentTypeDescription="Create a new document." ma:contentTypeScope="" ma:versionID="ba24188a7770f3829a5fcf44cad6a6c9">
  <xsd:schema xmlns:xsd="http://www.w3.org/2001/XMLSchema" xmlns:xs="http://www.w3.org/2001/XMLSchema" xmlns:p="http://schemas.microsoft.com/office/2006/metadata/properties" xmlns:ns3="5772e162-2b4a-4b71-8d4d-c6df85f411ba" xmlns:ns4="ce7cb691-63d8-430b-9964-58b8d44ec576" targetNamespace="http://schemas.microsoft.com/office/2006/metadata/properties" ma:root="true" ma:fieldsID="061e8b7672129251e4b19a17c632fc3d" ns3:_="" ns4:_="">
    <xsd:import namespace="5772e162-2b4a-4b71-8d4d-c6df85f411ba"/>
    <xsd:import namespace="ce7cb691-63d8-430b-9964-58b8d44ec5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162-2b4a-4b71-8d4d-c6df85f41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cb691-63d8-430b-9964-58b8d44ec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cb691-63d8-430b-9964-58b8d44ec5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69548-D863-421E-8F1C-EB6765DB9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162-2b4a-4b71-8d4d-c6df85f411ba"/>
    <ds:schemaRef ds:uri="ce7cb691-63d8-430b-9964-58b8d44e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A139E-5867-4328-B7C0-0E92D5058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2B902-E6D7-48EA-BCE8-7FC417F4DB64}">
  <ds:schemaRefs>
    <ds:schemaRef ds:uri="http://schemas.microsoft.com/office/2006/metadata/properties"/>
    <ds:schemaRef ds:uri="http://schemas.microsoft.com/office/infopath/2007/PartnerControls"/>
    <ds:schemaRef ds:uri="ce7cb691-63d8-430b-9964-58b8d44ec576"/>
  </ds:schemaRefs>
</ds:datastoreItem>
</file>

<file path=customXml/itemProps4.xml><?xml version="1.0" encoding="utf-8"?>
<ds:datastoreItem xmlns:ds="http://schemas.openxmlformats.org/officeDocument/2006/customXml" ds:itemID="{AEA8B2FB-1A66-4AE5-AB49-AA9F675B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Wood</dc:creator>
  <cp:lastModifiedBy>Beach, Jeffrey [AG]</cp:lastModifiedBy>
  <cp:revision>3</cp:revision>
  <dcterms:created xsi:type="dcterms:W3CDTF">2024-02-14T19:11:00Z</dcterms:created>
  <dcterms:modified xsi:type="dcterms:W3CDTF">2024-02-14T19:12:00Z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0x010100DD86F812D3337F49B19A8545D2DC85FD</vt:lpwstr>
  </property>
</Properties>
</file>